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Spec="center" w:tblpY="1036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567"/>
        <w:gridCol w:w="143"/>
        <w:gridCol w:w="6237"/>
        <w:gridCol w:w="1317"/>
        <w:gridCol w:w="9"/>
      </w:tblGrid>
      <w:tr w:rsidR="00995BC4" w:rsidRPr="00652E4E" w:rsidTr="00F27264">
        <w:tc>
          <w:tcPr>
            <w:tcW w:w="103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BC4" w:rsidRPr="00652E4E" w:rsidRDefault="00995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52E4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Опис</w:t>
            </w:r>
            <w:r w:rsidR="00652E4E" w:rsidRPr="00652E4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652E4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програми підвищення</w:t>
            </w:r>
            <w:r w:rsidR="00652E4E" w:rsidRPr="00652E4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652E4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кваліфікації вчителів англійської мови </w:t>
            </w:r>
          </w:p>
          <w:p w:rsidR="00652E4E" w:rsidRPr="00652E4E" w:rsidRDefault="00652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995BC4" w:rsidRPr="00652E4E" w:rsidRDefault="00995BC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</w:tc>
      </w:tr>
      <w:tr w:rsidR="00995BC4" w:rsidRPr="00A97FE1" w:rsidTr="00F2726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995B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52E4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Найменування програми</w:t>
            </w:r>
          </w:p>
        </w:tc>
        <w:tc>
          <w:tcPr>
            <w:tcW w:w="8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995BC4">
            <w:pPr>
              <w:pStyle w:val="11"/>
              <w:spacing w:line="276" w:lineRule="auto"/>
              <w:ind w:left="0"/>
              <w:rPr>
                <w:b w:val="0"/>
                <w:sz w:val="18"/>
                <w:szCs w:val="18"/>
              </w:rPr>
            </w:pPr>
            <w:r w:rsidRPr="00652E4E">
              <w:rPr>
                <w:b w:val="0"/>
                <w:sz w:val="18"/>
                <w:szCs w:val="18"/>
              </w:rPr>
              <w:t>Програма підвищення кваліфікації вчителів англійської мови</w:t>
            </w:r>
          </w:p>
        </w:tc>
      </w:tr>
      <w:tr w:rsidR="00995BC4" w:rsidRPr="00652E4E" w:rsidTr="00F2726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995B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52E4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Мета програми</w:t>
            </w:r>
          </w:p>
        </w:tc>
        <w:tc>
          <w:tcPr>
            <w:tcW w:w="8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995B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  <w:r w:rsidRPr="00652E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Удосконалення ключових </w:t>
            </w:r>
            <w:proofErr w:type="spellStart"/>
            <w:r w:rsidRPr="00652E4E">
              <w:rPr>
                <w:rFonts w:ascii="Times New Roman" w:hAnsi="Times New Roman"/>
                <w:sz w:val="18"/>
                <w:szCs w:val="18"/>
                <w:lang w:eastAsia="en-US"/>
              </w:rPr>
              <w:t>компетентностей</w:t>
            </w:r>
            <w:proofErr w:type="spellEnd"/>
            <w:r w:rsidRPr="00652E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 межах професійної діяльності з урахуванням вимог професійного стандарту та стандарту освіти у галузі «Іноземні мови»</w:t>
            </w:r>
          </w:p>
        </w:tc>
      </w:tr>
      <w:tr w:rsidR="00995BC4" w:rsidRPr="00A97FE1" w:rsidTr="00F2726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995B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52E4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Напрям програми</w:t>
            </w:r>
          </w:p>
        </w:tc>
        <w:tc>
          <w:tcPr>
            <w:tcW w:w="8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995BC4" w:rsidP="004304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52E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Підвищення кваліфікації фахівців за спеціальністю: </w:t>
            </w:r>
            <w:r w:rsidR="00430405">
              <w:rPr>
                <w:rFonts w:ascii="Times New Roman" w:hAnsi="Times New Roman"/>
                <w:sz w:val="18"/>
                <w:szCs w:val="18"/>
                <w:lang w:eastAsia="en-US"/>
              </w:rPr>
              <w:t>014.02 Середня освіта (Англійська мова і література)</w:t>
            </w:r>
          </w:p>
        </w:tc>
      </w:tr>
      <w:tr w:rsidR="00995BC4" w:rsidRPr="00652E4E" w:rsidTr="00F27264">
        <w:trPr>
          <w:gridAfter w:val="1"/>
          <w:wAfter w:w="9" w:type="dxa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995B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52E4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Зміст</w:t>
            </w:r>
            <w:r w:rsidR="00A97FE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652E4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програми</w:t>
            </w:r>
          </w:p>
        </w:tc>
        <w:tc>
          <w:tcPr>
            <w:tcW w:w="8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995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52E4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Навчальні</w:t>
            </w:r>
            <w:r w:rsidR="0081276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652E4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модулі для конструювання</w:t>
            </w:r>
            <w:r w:rsidR="0081276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652E4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освітньої</w:t>
            </w:r>
            <w:r w:rsidR="0081276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652E4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програми</w:t>
            </w:r>
          </w:p>
        </w:tc>
      </w:tr>
      <w:tr w:rsidR="00995BC4" w:rsidRPr="00652E4E" w:rsidTr="00F27264">
        <w:trPr>
          <w:gridAfter w:val="1"/>
          <w:wAfter w:w="9" w:type="dxa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C4" w:rsidRPr="00652E4E" w:rsidRDefault="00995B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995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52E4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 з/п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995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52E4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Назва модуля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995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52E4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К-сть год у модулі</w:t>
            </w:r>
          </w:p>
        </w:tc>
      </w:tr>
      <w:tr w:rsidR="00995BC4" w:rsidRPr="00652E4E" w:rsidTr="00F27264">
        <w:trPr>
          <w:gridAfter w:val="1"/>
          <w:wAfter w:w="9" w:type="dxa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C4" w:rsidRPr="00652E4E" w:rsidRDefault="00995B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995B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52E4E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995BC4" w:rsidP="00430405">
            <w:pPr>
              <w:pStyle w:val="TableParagraph"/>
              <w:tabs>
                <w:tab w:val="left" w:pos="326"/>
              </w:tabs>
              <w:spacing w:line="276" w:lineRule="auto"/>
              <w:ind w:left="35"/>
              <w:jc w:val="both"/>
              <w:rPr>
                <w:b/>
                <w:sz w:val="18"/>
                <w:szCs w:val="18"/>
                <w:lang w:val="uk-UA"/>
              </w:rPr>
            </w:pPr>
            <w:r w:rsidRPr="00652E4E">
              <w:rPr>
                <w:b/>
                <w:sz w:val="18"/>
                <w:szCs w:val="18"/>
                <w:lang w:val="uk-UA"/>
              </w:rPr>
              <w:t xml:space="preserve">Модуль 1. Світоглядні основи професійного розвитку педагога. </w:t>
            </w:r>
          </w:p>
          <w:p w:rsidR="00995BC4" w:rsidRPr="00652E4E" w:rsidRDefault="00995BC4" w:rsidP="00430405">
            <w:pPr>
              <w:pStyle w:val="TableParagraph"/>
              <w:tabs>
                <w:tab w:val="left" w:pos="326"/>
              </w:tabs>
              <w:spacing w:line="276" w:lineRule="auto"/>
              <w:ind w:left="35"/>
              <w:jc w:val="both"/>
              <w:rPr>
                <w:sz w:val="18"/>
                <w:szCs w:val="18"/>
                <w:lang w:val="uk-UA"/>
              </w:rPr>
            </w:pPr>
            <w:r w:rsidRPr="00652E4E">
              <w:rPr>
                <w:b/>
                <w:sz w:val="18"/>
                <w:szCs w:val="18"/>
                <w:lang w:val="uk-UA"/>
              </w:rPr>
              <w:t>Змістовні лінії:</w:t>
            </w:r>
          </w:p>
          <w:p w:rsidR="00995BC4" w:rsidRPr="00652E4E" w:rsidRDefault="00995BC4" w:rsidP="00430405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  <w:tab w:val="left" w:pos="506"/>
              </w:tabs>
              <w:spacing w:line="276" w:lineRule="auto"/>
              <w:ind w:left="35" w:firstLine="0"/>
              <w:jc w:val="both"/>
              <w:rPr>
                <w:sz w:val="18"/>
                <w:szCs w:val="18"/>
                <w:lang w:val="uk-UA"/>
              </w:rPr>
            </w:pPr>
            <w:r w:rsidRPr="00652E4E">
              <w:rPr>
                <w:sz w:val="18"/>
                <w:szCs w:val="18"/>
                <w:lang w:val="uk-UA"/>
              </w:rPr>
              <w:t xml:space="preserve">Державна стратегія розвитку освіти. «Законодавче забезпечення системи освіти та професійного розвитку педагога в Україні. </w:t>
            </w:r>
          </w:p>
          <w:p w:rsidR="00995BC4" w:rsidRPr="00652E4E" w:rsidRDefault="00995BC4" w:rsidP="00430405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  <w:tab w:val="left" w:pos="506"/>
              </w:tabs>
              <w:spacing w:line="276" w:lineRule="auto"/>
              <w:ind w:left="35" w:firstLine="0"/>
              <w:jc w:val="both"/>
              <w:rPr>
                <w:sz w:val="18"/>
                <w:szCs w:val="18"/>
                <w:lang w:val="uk-UA"/>
              </w:rPr>
            </w:pPr>
            <w:r w:rsidRPr="00652E4E">
              <w:rPr>
                <w:sz w:val="18"/>
                <w:szCs w:val="18"/>
                <w:lang w:val="uk-UA"/>
              </w:rPr>
              <w:t>Здорове і безпечне середовище закладу освіти – складова професійного благополуччя і розвитку.</w:t>
            </w:r>
          </w:p>
          <w:p w:rsidR="00995BC4" w:rsidRPr="00652E4E" w:rsidRDefault="00995BC4" w:rsidP="00430405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  <w:tab w:val="left" w:pos="506"/>
              </w:tabs>
              <w:spacing w:line="276" w:lineRule="auto"/>
              <w:ind w:left="35" w:firstLine="0"/>
              <w:jc w:val="both"/>
              <w:rPr>
                <w:b/>
                <w:sz w:val="18"/>
                <w:szCs w:val="18"/>
                <w:lang w:val="ru-RU"/>
              </w:rPr>
            </w:pPr>
            <w:r w:rsidRPr="00652E4E">
              <w:rPr>
                <w:sz w:val="18"/>
                <w:szCs w:val="18"/>
                <w:lang w:val="uk-UA"/>
              </w:rPr>
              <w:t>Ціннісні та діяльнісні засади професійного розвитку педагога.</w:t>
            </w:r>
          </w:p>
          <w:p w:rsidR="00995BC4" w:rsidRPr="00652E4E" w:rsidRDefault="00995BC4" w:rsidP="00430405">
            <w:pPr>
              <w:pStyle w:val="a3"/>
              <w:numPr>
                <w:ilvl w:val="0"/>
                <w:numId w:val="1"/>
              </w:numPr>
              <w:tabs>
                <w:tab w:val="left" w:pos="326"/>
                <w:tab w:val="left" w:pos="506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2E4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Мовленнєва</w:t>
            </w:r>
            <w:r w:rsidR="008127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652E4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компетентність педагога.</w:t>
            </w:r>
          </w:p>
          <w:p w:rsidR="00995BC4" w:rsidRPr="00652E4E" w:rsidRDefault="00995BC4" w:rsidP="00430405">
            <w:pPr>
              <w:pStyle w:val="a3"/>
              <w:numPr>
                <w:ilvl w:val="0"/>
                <w:numId w:val="1"/>
              </w:numPr>
              <w:tabs>
                <w:tab w:val="left" w:pos="326"/>
                <w:tab w:val="left" w:pos="506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52E4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Інфомедійна</w:t>
            </w:r>
            <w:proofErr w:type="spellEnd"/>
            <w:r w:rsidRPr="00652E4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грамотність як ключова компетенція </w:t>
            </w:r>
            <w:proofErr w:type="spellStart"/>
            <w:r w:rsidRPr="00652E4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діджиталізованого</w:t>
            </w:r>
            <w:proofErr w:type="spellEnd"/>
            <w:r w:rsidRPr="00652E4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суспільства та головна умова якісної освіти.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995BC4">
            <w:pPr>
              <w:pStyle w:val="TableParagraph"/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52E4E">
              <w:rPr>
                <w:b/>
                <w:sz w:val="18"/>
                <w:szCs w:val="18"/>
                <w:lang w:val="uk-UA"/>
              </w:rPr>
              <w:t>10</w:t>
            </w:r>
          </w:p>
        </w:tc>
      </w:tr>
      <w:tr w:rsidR="00995BC4" w:rsidRPr="00652E4E" w:rsidTr="00F27264">
        <w:trPr>
          <w:gridAfter w:val="1"/>
          <w:wAfter w:w="9" w:type="dxa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C4" w:rsidRPr="00652E4E" w:rsidRDefault="00995B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995B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52E4E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995BC4" w:rsidP="004304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52E4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Модуль 2. Психологія, педагогіка та інклюзивна освіта</w:t>
            </w:r>
          </w:p>
          <w:p w:rsidR="00995BC4" w:rsidRPr="00652E4E" w:rsidRDefault="00995BC4" w:rsidP="004304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52E4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Змістовні лінії:</w:t>
            </w:r>
          </w:p>
          <w:p w:rsidR="00995BC4" w:rsidRPr="00652E4E" w:rsidRDefault="00995BC4" w:rsidP="0043040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52E4E">
              <w:rPr>
                <w:rFonts w:ascii="Times New Roman" w:hAnsi="Times New Roman"/>
                <w:sz w:val="18"/>
                <w:szCs w:val="18"/>
                <w:lang w:eastAsia="en-US"/>
              </w:rPr>
              <w:t>1. Основи інклюзивного навчання; діти з особливими потребами: особливості навчання та розвитку, психолого-педагогічні умови їх підтримки в освітньому процесі; універсальний дизайн в освіті.</w:t>
            </w:r>
          </w:p>
          <w:p w:rsidR="00995BC4" w:rsidRPr="00652E4E" w:rsidRDefault="00995BC4" w:rsidP="0043040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52E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2. Створення безпечного освітнього середовища: профілактика та подолання </w:t>
            </w:r>
            <w:proofErr w:type="spellStart"/>
            <w:r w:rsidRPr="00652E4E">
              <w:rPr>
                <w:rFonts w:ascii="Times New Roman" w:hAnsi="Times New Roman"/>
                <w:sz w:val="18"/>
                <w:szCs w:val="18"/>
                <w:lang w:eastAsia="en-US"/>
              </w:rPr>
              <w:t>булінгу</w:t>
            </w:r>
            <w:proofErr w:type="spellEnd"/>
            <w:r w:rsidRPr="00652E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та шкільного насилля у закладах освіти; сучасні проблеми адаптації та соціалізації особистості; формування соціальних </w:t>
            </w:r>
            <w:proofErr w:type="spellStart"/>
            <w:r w:rsidRPr="00652E4E">
              <w:rPr>
                <w:rFonts w:ascii="Times New Roman" w:hAnsi="Times New Roman"/>
                <w:sz w:val="18"/>
                <w:szCs w:val="18"/>
                <w:lang w:eastAsia="en-US"/>
              </w:rPr>
              <w:t>компетентностей</w:t>
            </w:r>
            <w:proofErr w:type="spellEnd"/>
            <w:r w:rsidRPr="00652E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особистості в процесі </w:t>
            </w:r>
            <w:proofErr w:type="spellStart"/>
            <w:r w:rsidRPr="00652E4E">
              <w:rPr>
                <w:rFonts w:ascii="Times New Roman" w:hAnsi="Times New Roman"/>
                <w:sz w:val="18"/>
                <w:szCs w:val="18"/>
                <w:lang w:eastAsia="en-US"/>
              </w:rPr>
              <w:t>нейроменеджменту</w:t>
            </w:r>
            <w:proofErr w:type="spellEnd"/>
            <w:r w:rsidRPr="00652E4E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  <w:p w:rsidR="00995BC4" w:rsidRPr="00652E4E" w:rsidRDefault="00995BC4" w:rsidP="0043040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52E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3. Педагогіка партнерства: взаємодія з батьками; педагогіка партнерства та </w:t>
            </w:r>
            <w:proofErr w:type="spellStart"/>
            <w:r w:rsidRPr="00652E4E">
              <w:rPr>
                <w:rFonts w:ascii="Times New Roman" w:hAnsi="Times New Roman"/>
                <w:sz w:val="18"/>
                <w:szCs w:val="18"/>
                <w:lang w:eastAsia="en-US"/>
              </w:rPr>
              <w:t>компетентнісний</w:t>
            </w:r>
            <w:proofErr w:type="spellEnd"/>
            <w:r w:rsidRPr="00652E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підхід у роботі вчителя; педагогічний супровід талановитих дітей; розвиток емоційної компетентності педагога.</w:t>
            </w:r>
          </w:p>
          <w:p w:rsidR="00995BC4" w:rsidRPr="00652E4E" w:rsidRDefault="00995BC4" w:rsidP="0043040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652E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4. Розвиток психологічної компетентності педагога: психологічні особливості розвитку дитини на різних вікових етапах; стратегії і тактики попередження професійного стресу; психологія </w:t>
            </w:r>
            <w:proofErr w:type="spellStart"/>
            <w:r w:rsidRPr="00652E4E">
              <w:rPr>
                <w:rFonts w:ascii="Times New Roman" w:hAnsi="Times New Roman"/>
                <w:sz w:val="18"/>
                <w:szCs w:val="18"/>
                <w:lang w:eastAsia="en-US"/>
              </w:rPr>
              <w:t>тімбілдінгу</w:t>
            </w:r>
            <w:proofErr w:type="spellEnd"/>
            <w:r w:rsidRPr="00652E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652E4E">
              <w:rPr>
                <w:rFonts w:ascii="Times New Roman" w:hAnsi="Times New Roman"/>
                <w:sz w:val="18"/>
                <w:szCs w:val="18"/>
                <w:lang w:eastAsia="en-US"/>
              </w:rPr>
              <w:t>командотворення</w:t>
            </w:r>
            <w:proofErr w:type="spellEnd"/>
            <w:r w:rsidRPr="00652E4E">
              <w:rPr>
                <w:rFonts w:ascii="Times New Roman" w:hAnsi="Times New Roman"/>
                <w:sz w:val="18"/>
                <w:szCs w:val="18"/>
                <w:lang w:eastAsia="en-US"/>
              </w:rPr>
              <w:t>); психодіагностика особистості учня, психологія класного менеджменту.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CB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10</w:t>
            </w:r>
          </w:p>
        </w:tc>
      </w:tr>
      <w:tr w:rsidR="00995BC4" w:rsidRPr="00652E4E" w:rsidTr="00F27264">
        <w:trPr>
          <w:gridAfter w:val="1"/>
          <w:wAfter w:w="9" w:type="dxa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C4" w:rsidRPr="00652E4E" w:rsidRDefault="00995B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995B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52E4E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995B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652E4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Модуль 3. Організаційно-методичні засади розвитку професійної  компетентності вчителя</w:t>
            </w:r>
            <w:r w:rsidRPr="00652E4E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.</w:t>
            </w:r>
          </w:p>
          <w:p w:rsidR="00995BC4" w:rsidRPr="00652E4E" w:rsidRDefault="00995BC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652E4E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Змістовні лінії</w:t>
            </w:r>
            <w:r w:rsidRPr="00652E4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CB0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40</w:t>
            </w:r>
          </w:p>
        </w:tc>
      </w:tr>
      <w:tr w:rsidR="00995BC4" w:rsidRPr="00652E4E" w:rsidTr="00F27264">
        <w:trPr>
          <w:gridAfter w:val="1"/>
          <w:wAfter w:w="9" w:type="dxa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C4" w:rsidRPr="00652E4E" w:rsidRDefault="00995B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C4" w:rsidRPr="00652E4E" w:rsidRDefault="00995B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995BC4" w:rsidP="00AB526A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652E4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Інформаційні, цифрові технології в освітньому процесі, Е-навчання, </w:t>
            </w:r>
            <w:proofErr w:type="spellStart"/>
            <w:r w:rsidRPr="00652E4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кібербезпека</w:t>
            </w:r>
            <w:proofErr w:type="spellEnd"/>
            <w:r w:rsidRPr="00652E4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, тощо.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995B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52E4E"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</w:tr>
      <w:tr w:rsidR="00995BC4" w:rsidRPr="00652E4E" w:rsidTr="00F27264">
        <w:trPr>
          <w:gridAfter w:val="1"/>
          <w:wAfter w:w="9" w:type="dxa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C4" w:rsidRPr="00652E4E" w:rsidRDefault="00995B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C4" w:rsidRPr="00652E4E" w:rsidRDefault="00995B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995BC4" w:rsidP="00AB526A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52E4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Професійні компетентності (знання предмета, фахових методик, технологій).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430405" w:rsidRDefault="00CB0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30</w:t>
            </w:r>
          </w:p>
        </w:tc>
      </w:tr>
      <w:tr w:rsidR="00995BC4" w:rsidRPr="00652E4E" w:rsidTr="00F27264">
        <w:trPr>
          <w:gridAfter w:val="1"/>
          <w:wAfter w:w="9" w:type="dxa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C4" w:rsidRPr="00652E4E" w:rsidRDefault="00995B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CB09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995BC4" w:rsidRPr="00652E4E">
              <w:rPr>
                <w:rFonts w:ascii="Times New Roman" w:hAnsi="Times New Roman"/>
                <w:sz w:val="18"/>
                <w:szCs w:val="18"/>
                <w:lang w:eastAsia="en-US"/>
              </w:rPr>
              <w:t>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995BC4">
            <w:pPr>
              <w:pStyle w:val="a3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52E4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Державна освітня політика в галузі </w:t>
            </w:r>
            <w:r w:rsidRPr="00652E4E">
              <w:rPr>
                <w:rFonts w:ascii="Times New Roman" w:hAnsi="Times New Roman"/>
                <w:sz w:val="18"/>
                <w:szCs w:val="18"/>
                <w:lang w:eastAsia="en-US"/>
              </w:rPr>
              <w:t>«Мови та літератури»</w:t>
            </w:r>
          </w:p>
          <w:p w:rsidR="00995BC4" w:rsidRPr="00652E4E" w:rsidRDefault="00995BC4">
            <w:pPr>
              <w:pStyle w:val="a3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652E4E">
              <w:rPr>
                <w:rFonts w:ascii="Times New Roman" w:hAnsi="Times New Roman"/>
                <w:sz w:val="18"/>
                <w:szCs w:val="18"/>
                <w:lang w:eastAsia="en-US"/>
              </w:rPr>
              <w:t>(іноземна мова). Програмно-методичне та навчально-методичне забезпечення викладання іноземної мови в закладах загальної середньої освіти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995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52E4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</w:tr>
      <w:tr w:rsidR="00995BC4" w:rsidRPr="00652E4E" w:rsidTr="00F27264">
        <w:trPr>
          <w:gridAfter w:val="1"/>
          <w:wAfter w:w="9" w:type="dxa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C4" w:rsidRPr="00652E4E" w:rsidRDefault="00995B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CB09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995BC4" w:rsidRPr="00652E4E">
              <w:rPr>
                <w:rFonts w:ascii="Times New Roman" w:hAnsi="Times New Roman"/>
                <w:sz w:val="18"/>
                <w:szCs w:val="18"/>
                <w:lang w:eastAsia="en-US"/>
              </w:rPr>
              <w:t>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995BC4" w:rsidP="00430405">
            <w:pPr>
              <w:pStyle w:val="a3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652E4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Рецептивні види мовленнєвої діяльності здобувачів освіти: сприймання на слух та зорове сприймання.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CB0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</w:tr>
      <w:tr w:rsidR="00995BC4" w:rsidRPr="00652E4E" w:rsidTr="00F27264">
        <w:trPr>
          <w:gridAfter w:val="1"/>
          <w:wAfter w:w="9" w:type="dxa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C4" w:rsidRPr="00652E4E" w:rsidRDefault="00995B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CB09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995BC4" w:rsidRPr="00652E4E">
              <w:rPr>
                <w:rFonts w:ascii="Times New Roman" w:hAnsi="Times New Roman"/>
                <w:sz w:val="18"/>
                <w:szCs w:val="18"/>
                <w:lang w:eastAsia="en-US"/>
              </w:rPr>
              <w:t>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995BC4" w:rsidP="0043040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2E4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Навчально – пізнавальна діяльність учнів: усне продукування та взаємодія.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995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52E4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</w:tr>
      <w:tr w:rsidR="00995BC4" w:rsidRPr="00652E4E" w:rsidTr="00F27264">
        <w:trPr>
          <w:gridAfter w:val="1"/>
          <w:wAfter w:w="9" w:type="dxa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C4" w:rsidRPr="00652E4E" w:rsidRDefault="00995B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CB09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995BC4" w:rsidRPr="00652E4E">
              <w:rPr>
                <w:rFonts w:ascii="Times New Roman" w:hAnsi="Times New Roman"/>
                <w:sz w:val="18"/>
                <w:szCs w:val="18"/>
                <w:lang w:eastAsia="en-US"/>
              </w:rPr>
              <w:t>.2.4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995BC4" w:rsidP="0043040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2E4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Формування навичок писемного продукування та взаємодії.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995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52E4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</w:tr>
      <w:tr w:rsidR="00995BC4" w:rsidRPr="00652E4E" w:rsidTr="00F27264">
        <w:trPr>
          <w:gridAfter w:val="1"/>
          <w:wAfter w:w="9" w:type="dxa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C4" w:rsidRPr="00652E4E" w:rsidRDefault="00995B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CB09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995BC4" w:rsidRPr="00652E4E">
              <w:rPr>
                <w:rFonts w:ascii="Times New Roman" w:hAnsi="Times New Roman"/>
                <w:sz w:val="18"/>
                <w:szCs w:val="18"/>
                <w:lang w:eastAsia="en-US"/>
              </w:rPr>
              <w:t>.2.5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995BC4" w:rsidP="0043040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2E4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Розвиток лінгвістичного діапазону здобувачів освіти: фонологічного, лексичного, граматичного (лексичний метод /</w:t>
            </w:r>
            <w:proofErr w:type="spellStart"/>
            <w:r w:rsidRPr="00652E4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LexicalApproach</w:t>
            </w:r>
            <w:proofErr w:type="spellEnd"/>
            <w:r w:rsidRPr="00652E4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; метод функцій /</w:t>
            </w:r>
            <w:proofErr w:type="spellStart"/>
            <w:r w:rsidRPr="00652E4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FunctionalApproach</w:t>
            </w:r>
            <w:proofErr w:type="spellEnd"/>
            <w:r w:rsidRPr="00652E4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; граматико-перекладний підхід /Grammar-TranslationApproach).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995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52E4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</w:tr>
      <w:tr w:rsidR="00995BC4" w:rsidRPr="00652E4E" w:rsidTr="00F27264">
        <w:trPr>
          <w:gridAfter w:val="1"/>
          <w:wAfter w:w="9" w:type="dxa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C4" w:rsidRPr="00652E4E" w:rsidRDefault="00995B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CB09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995BC4" w:rsidRPr="00652E4E">
              <w:rPr>
                <w:rFonts w:ascii="Times New Roman" w:hAnsi="Times New Roman"/>
                <w:sz w:val="18"/>
                <w:szCs w:val="18"/>
                <w:lang w:eastAsia="en-US"/>
              </w:rPr>
              <w:t>.2.6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995BC4" w:rsidP="0043040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2E4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Ефективні педагогічні технології навчання іноземної мови:</w:t>
            </w:r>
            <w:r w:rsidR="0043040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52E4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Task-basedlearning</w:t>
            </w:r>
            <w:proofErr w:type="spellEnd"/>
            <w:r w:rsidRPr="00652E4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/навчання, що базується на завданнях;</w:t>
            </w:r>
            <w:r w:rsidR="0043040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52E4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Presentation-Practice-Production</w:t>
            </w:r>
            <w:proofErr w:type="spellEnd"/>
            <w:r w:rsidRPr="00652E4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Pr="00652E4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представлення-практика-продукування;CommunicativeApproaches</w:t>
            </w:r>
            <w:proofErr w:type="spellEnd"/>
            <w:r w:rsidRPr="00652E4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,/ комунікативні методи; </w:t>
            </w:r>
            <w:proofErr w:type="spellStart"/>
            <w:r w:rsidRPr="00652E4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Guideddiscovery</w:t>
            </w:r>
            <w:proofErr w:type="spellEnd"/>
            <w:r w:rsidRPr="00652E4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/ сугестивне відкриття; навчання, Content-basedlearning / навчання, що базується на змісті; </w:t>
            </w:r>
            <w:r w:rsidRPr="00652E4E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scaffolding</w:t>
            </w:r>
            <w:r w:rsidRPr="00652E4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/ </w:t>
            </w:r>
            <w:proofErr w:type="spellStart"/>
            <w:r w:rsidRPr="00652E4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скафолдінг</w:t>
            </w:r>
            <w:proofErr w:type="spellEnd"/>
            <w:r w:rsidRPr="00652E4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CB0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</w:tr>
      <w:tr w:rsidR="00995BC4" w:rsidRPr="00652E4E" w:rsidTr="00F27264">
        <w:trPr>
          <w:gridAfter w:val="1"/>
          <w:wAfter w:w="9" w:type="dxa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C4" w:rsidRPr="00652E4E" w:rsidRDefault="00995B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CB09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995BC4" w:rsidRPr="00652E4E">
              <w:rPr>
                <w:rFonts w:ascii="Times New Roman" w:hAnsi="Times New Roman"/>
                <w:sz w:val="18"/>
                <w:szCs w:val="18"/>
                <w:lang w:eastAsia="en-US"/>
              </w:rPr>
              <w:t>.2.7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995BC4" w:rsidP="0043040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52E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Загальноєвропейські </w:t>
            </w:r>
            <w:r w:rsidR="00430405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652E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екомендації з </w:t>
            </w:r>
            <w:proofErr w:type="spellStart"/>
            <w:r w:rsidRPr="00652E4E">
              <w:rPr>
                <w:rFonts w:ascii="Times New Roman" w:hAnsi="Times New Roman"/>
                <w:sz w:val="18"/>
                <w:szCs w:val="18"/>
                <w:lang w:eastAsia="en-US"/>
              </w:rPr>
              <w:t>мовної</w:t>
            </w:r>
            <w:proofErr w:type="spellEnd"/>
            <w:r w:rsidRPr="00652E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освіти: вивчення, викладання, оцінювання. Процеси вивчення та викладання мови.</w:t>
            </w:r>
            <w:r w:rsidR="0081276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652E4E">
              <w:rPr>
                <w:rFonts w:ascii="Times New Roman" w:hAnsi="Times New Roman"/>
                <w:sz w:val="18"/>
                <w:szCs w:val="18"/>
                <w:lang w:eastAsia="en-US"/>
              </w:rPr>
              <w:t>Європейське</w:t>
            </w:r>
            <w:r w:rsidR="0081276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52E4E">
              <w:rPr>
                <w:rFonts w:ascii="Times New Roman" w:hAnsi="Times New Roman"/>
                <w:sz w:val="18"/>
                <w:szCs w:val="18"/>
                <w:lang w:eastAsia="en-US"/>
              </w:rPr>
              <w:t>мовне</w:t>
            </w:r>
            <w:proofErr w:type="spellEnd"/>
            <w:r w:rsidR="0081276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652E4E">
              <w:rPr>
                <w:rFonts w:ascii="Times New Roman" w:hAnsi="Times New Roman"/>
                <w:sz w:val="18"/>
                <w:szCs w:val="18"/>
                <w:lang w:eastAsia="en-US"/>
              </w:rPr>
              <w:t>портфоліо як інструмент</w:t>
            </w:r>
            <w:r w:rsidR="0081276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652E4E">
              <w:rPr>
                <w:rFonts w:ascii="Times New Roman" w:hAnsi="Times New Roman"/>
                <w:sz w:val="18"/>
                <w:szCs w:val="18"/>
                <w:lang w:eastAsia="en-US"/>
              </w:rPr>
              <w:t>впровадження</w:t>
            </w:r>
            <w:r w:rsidR="0081276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652E4E">
              <w:rPr>
                <w:rFonts w:ascii="Times New Roman" w:hAnsi="Times New Roman"/>
                <w:sz w:val="18"/>
                <w:szCs w:val="18"/>
                <w:lang w:eastAsia="en-US"/>
              </w:rPr>
              <w:t>мовної</w:t>
            </w:r>
            <w:r w:rsidR="0081276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652E4E">
              <w:rPr>
                <w:rFonts w:ascii="Times New Roman" w:hAnsi="Times New Roman"/>
                <w:sz w:val="18"/>
                <w:szCs w:val="18"/>
                <w:lang w:eastAsia="en-US"/>
              </w:rPr>
              <w:t>політики Ради Європи.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CB0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  <w:bookmarkStart w:id="0" w:name="_GoBack"/>
            <w:bookmarkEnd w:id="0"/>
          </w:p>
        </w:tc>
      </w:tr>
      <w:tr w:rsidR="00995BC4" w:rsidRPr="00652E4E" w:rsidTr="00F27264">
        <w:trPr>
          <w:gridAfter w:val="1"/>
          <w:wAfter w:w="9" w:type="dxa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C4" w:rsidRPr="00652E4E" w:rsidRDefault="00995B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CB09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995BC4" w:rsidRPr="00652E4E">
              <w:rPr>
                <w:rFonts w:ascii="Times New Roman" w:hAnsi="Times New Roman"/>
                <w:sz w:val="18"/>
                <w:szCs w:val="18"/>
                <w:lang w:eastAsia="en-US"/>
              </w:rPr>
              <w:t>.2.8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995BC4" w:rsidP="0043040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2E4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Моніторинг та види оцінювання навчальних досягнень учнів. Формувальне оцінювання як інтерактивне оцінювання учнівського прогресу.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CB0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</w:tr>
      <w:tr w:rsidR="00995BC4" w:rsidRPr="00652E4E" w:rsidTr="00F27264">
        <w:trPr>
          <w:gridAfter w:val="1"/>
          <w:wAfter w:w="9" w:type="dxa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C4" w:rsidRPr="00652E4E" w:rsidRDefault="00995B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CB09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995BC4" w:rsidRPr="00652E4E">
              <w:rPr>
                <w:rFonts w:ascii="Times New Roman" w:hAnsi="Times New Roman"/>
                <w:sz w:val="18"/>
                <w:szCs w:val="18"/>
                <w:lang w:eastAsia="en-US"/>
              </w:rPr>
              <w:t>.2.9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995BC4" w:rsidP="00430405">
            <w:pPr>
              <w:pStyle w:val="a3"/>
              <w:tabs>
                <w:tab w:val="left" w:pos="318"/>
              </w:tabs>
              <w:spacing w:after="0" w:line="240" w:lineRule="auto"/>
              <w:ind w:left="35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652E4E">
              <w:rPr>
                <w:rFonts w:ascii="Times New Roman" w:hAnsi="Times New Roman"/>
                <w:sz w:val="18"/>
                <w:szCs w:val="18"/>
                <w:lang w:eastAsia="en-US"/>
              </w:rPr>
              <w:t>Практика.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995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52E4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</w:tr>
      <w:tr w:rsidR="00995BC4" w:rsidRPr="00652E4E" w:rsidTr="00F27264">
        <w:trPr>
          <w:gridAfter w:val="1"/>
          <w:wAfter w:w="9" w:type="dxa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C4" w:rsidRPr="00652E4E" w:rsidRDefault="00995B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995BC4">
            <w:pPr>
              <w:tabs>
                <w:tab w:val="left" w:pos="318"/>
              </w:tabs>
              <w:spacing w:after="0" w:line="240" w:lineRule="auto"/>
              <w:ind w:left="35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52E4E">
              <w:rPr>
                <w:rFonts w:ascii="Times New Roman" w:hAnsi="Times New Roman"/>
                <w:sz w:val="18"/>
                <w:szCs w:val="18"/>
                <w:lang w:eastAsia="en-US"/>
              </w:rPr>
              <w:t>Тематична конференція</w:t>
            </w:r>
            <w:r w:rsidRPr="00652E4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Науково-методологічні осмислення та рефлексії особистого педагогічного досвіду.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CB0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</w:tr>
      <w:tr w:rsidR="00995BC4" w:rsidRPr="00652E4E" w:rsidTr="00F27264">
        <w:trPr>
          <w:gridAfter w:val="1"/>
          <w:wAfter w:w="9" w:type="dxa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C4" w:rsidRPr="00652E4E" w:rsidRDefault="00995B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995B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52E4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Разом годин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C4" w:rsidRPr="00652E4E" w:rsidRDefault="00CB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60</w:t>
            </w:r>
          </w:p>
        </w:tc>
      </w:tr>
      <w:tr w:rsidR="00995BC4" w:rsidRPr="00652E4E" w:rsidTr="00F27264">
        <w:trPr>
          <w:gridAfter w:val="1"/>
          <w:wAfter w:w="9" w:type="dxa"/>
          <w:trHeight w:val="307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C4" w:rsidRPr="00652E4E" w:rsidRDefault="00995B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5BC4" w:rsidRPr="00652E4E" w:rsidRDefault="00995BC4">
            <w:pPr>
              <w:spacing w:after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5BC4" w:rsidRPr="00652E4E" w:rsidRDefault="00995BC4">
            <w:pPr>
              <w:spacing w:after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995BC4">
            <w:pPr>
              <w:spacing w:after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</w:p>
        </w:tc>
      </w:tr>
      <w:tr w:rsidR="00995BC4" w:rsidRPr="00652E4E" w:rsidTr="00F27264">
        <w:trPr>
          <w:gridAfter w:val="1"/>
          <w:wAfter w:w="9" w:type="dxa"/>
          <w:trHeight w:val="371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C4" w:rsidRPr="00652E4E" w:rsidRDefault="00995B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5BC4" w:rsidRPr="00652E4E" w:rsidRDefault="00995BC4">
            <w:pPr>
              <w:spacing w:after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BC4" w:rsidRPr="00652E4E" w:rsidRDefault="00995BC4">
            <w:pPr>
              <w:spacing w:after="0" w:line="240" w:lineRule="auto"/>
              <w:rPr>
                <w:rFonts w:eastAsiaTheme="minorHAnsi" w:cs="Times New Roman"/>
                <w:sz w:val="18"/>
                <w:szCs w:val="18"/>
                <w:lang w:eastAsia="en-US"/>
              </w:rPr>
            </w:pPr>
          </w:p>
        </w:tc>
      </w:tr>
      <w:tr w:rsidR="00995BC4" w:rsidRPr="00812760" w:rsidTr="00F27264">
        <w:tc>
          <w:tcPr>
            <w:tcW w:w="10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995BC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652E4E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Навчання за програмою</w:t>
            </w:r>
            <w:r w:rsidR="00812760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652E4E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підвищення</w:t>
            </w:r>
            <w:r w:rsidR="00812760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652E4E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кваліфікації</w:t>
            </w:r>
            <w:r w:rsidR="00812760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652E4E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завершується</w:t>
            </w:r>
            <w:r w:rsidR="00812760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652E4E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тематичною</w:t>
            </w:r>
            <w:r w:rsidR="00812760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652E4E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конференцією за участю</w:t>
            </w:r>
            <w:r w:rsidR="00812760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652E4E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науково-педагогічних</w:t>
            </w:r>
            <w:r w:rsidR="00812760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652E4E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працівників та керівників</w:t>
            </w:r>
            <w:r w:rsidR="00812760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652E4E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курсів (не більше</w:t>
            </w:r>
            <w:r w:rsidR="00812760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652E4E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трьох</w:t>
            </w:r>
            <w:r w:rsidR="00812760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652E4E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осіб на одну групу). Тематична</w:t>
            </w:r>
            <w:r w:rsidR="00D51D0A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652E4E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конференція</w:t>
            </w:r>
            <w:r w:rsidR="00D51D0A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652E4E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передбачає</w:t>
            </w:r>
            <w:r w:rsidR="00D51D0A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652E4E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обговорення</w:t>
            </w:r>
            <w:r w:rsidR="00D51D0A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652E4E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проблемних</w:t>
            </w:r>
            <w:r w:rsidR="00D51D0A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652E4E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питань, результатів</w:t>
            </w:r>
            <w:r w:rsidR="00D51D0A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652E4E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навчання, виконання</w:t>
            </w:r>
            <w:r w:rsidR="00D51D0A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652E4E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індивідуальних</w:t>
            </w:r>
            <w:r w:rsidR="00D51D0A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652E4E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завдань слухачами курсів за змістом</w:t>
            </w:r>
            <w:r w:rsidR="00D51D0A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652E4E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загальних та методичних</w:t>
            </w:r>
            <w:r w:rsidR="00D51D0A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652E4E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модулів, передбачених</w:t>
            </w:r>
            <w:r w:rsidR="00D51D0A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652E4E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навчальною</w:t>
            </w:r>
            <w:r w:rsidR="00D51D0A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652E4E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програмою, отримання</w:t>
            </w:r>
            <w:r w:rsidR="00D51D0A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652E4E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зворотного</w:t>
            </w:r>
            <w:r w:rsidR="00D51D0A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652E4E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зв’язку. </w:t>
            </w:r>
          </w:p>
        </w:tc>
      </w:tr>
      <w:tr w:rsidR="00995BC4" w:rsidRPr="00652E4E" w:rsidTr="00F27264">
        <w:trPr>
          <w:gridAfter w:val="1"/>
          <w:wAfter w:w="9" w:type="dxa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F27264" w:rsidRDefault="00995BC4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F27264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Обсяг</w:t>
            </w:r>
            <w:r w:rsidR="00D51D0A" w:rsidRPr="00F27264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F27264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програми</w:t>
            </w:r>
          </w:p>
        </w:tc>
        <w:tc>
          <w:tcPr>
            <w:tcW w:w="8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995B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52E4E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43040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652E4E">
              <w:rPr>
                <w:rFonts w:ascii="Times New Roman" w:hAnsi="Times New Roman"/>
                <w:sz w:val="18"/>
                <w:szCs w:val="18"/>
                <w:lang w:eastAsia="en-US"/>
              </w:rPr>
              <w:t>кредитів ЄКТС (60 год)</w:t>
            </w:r>
          </w:p>
        </w:tc>
      </w:tr>
      <w:tr w:rsidR="00995BC4" w:rsidRPr="00652E4E" w:rsidTr="00F27264">
        <w:trPr>
          <w:gridAfter w:val="1"/>
          <w:wAfter w:w="9" w:type="dxa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F27264" w:rsidRDefault="00995BC4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F27264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Форма підвищення</w:t>
            </w:r>
            <w:r w:rsidR="00D51D0A" w:rsidRPr="00F27264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F27264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кваліфікації</w:t>
            </w:r>
          </w:p>
        </w:tc>
        <w:tc>
          <w:tcPr>
            <w:tcW w:w="8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995B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52E4E">
              <w:rPr>
                <w:rFonts w:ascii="Times New Roman" w:hAnsi="Times New Roman"/>
                <w:sz w:val="18"/>
                <w:szCs w:val="18"/>
                <w:lang w:eastAsia="en-US"/>
              </w:rPr>
              <w:t>Очна заочна, дистанційна відповідно до формату курсів і робочого навчального плану.</w:t>
            </w:r>
          </w:p>
        </w:tc>
      </w:tr>
      <w:tr w:rsidR="00995BC4" w:rsidRPr="00A97FE1" w:rsidTr="00F27264">
        <w:trPr>
          <w:gridAfter w:val="1"/>
          <w:wAfter w:w="9" w:type="dxa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F27264" w:rsidRDefault="00995B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F27264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Перелік </w:t>
            </w:r>
            <w:proofErr w:type="spellStart"/>
            <w:r w:rsidRPr="00F27264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компетентностей</w:t>
            </w:r>
            <w:proofErr w:type="spellEnd"/>
            <w:r w:rsidRPr="00F27264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, що набуваються/</w:t>
            </w:r>
          </w:p>
          <w:p w:rsidR="00995BC4" w:rsidRPr="00F27264" w:rsidRDefault="00995BC4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F27264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удосконалюються (загальні, фахові тощо)</w:t>
            </w:r>
          </w:p>
        </w:tc>
        <w:tc>
          <w:tcPr>
            <w:tcW w:w="8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995BC4" w:rsidP="00F27264">
            <w:pPr>
              <w:pStyle w:val="LO-normal"/>
              <w:widowControl w:val="0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2E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Особистісно професійні:</w:t>
            </w:r>
          </w:p>
          <w:p w:rsidR="00995BC4" w:rsidRPr="00A97FE1" w:rsidRDefault="00995BC4" w:rsidP="00F27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2E4E">
              <w:rPr>
                <w:rFonts w:ascii="Times New Roman" w:hAnsi="Times New Roman"/>
                <w:sz w:val="18"/>
                <w:szCs w:val="18"/>
                <w:lang w:eastAsia="en-US"/>
              </w:rPr>
              <w:t>–здатність здійснювати</w:t>
            </w:r>
            <w:r w:rsidR="00D51D0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652E4E">
              <w:rPr>
                <w:rFonts w:ascii="Times New Roman" w:hAnsi="Times New Roman"/>
                <w:sz w:val="18"/>
                <w:szCs w:val="18"/>
                <w:lang w:eastAsia="en-US"/>
              </w:rPr>
              <w:t>цілепокладання та рефлексію;</w:t>
            </w:r>
            <w:r w:rsidR="00D51D0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з</w:t>
            </w:r>
            <w:r w:rsidRPr="00A97FE1">
              <w:rPr>
                <w:rFonts w:ascii="Times New Roman" w:eastAsia="Times New Roman" w:hAnsi="Times New Roman" w:cs="Times New Roman"/>
                <w:sz w:val="18"/>
                <w:szCs w:val="18"/>
              </w:rPr>
              <w:t>датність виявляти власне ціннісно-смислове ставлення до діяльності;</w:t>
            </w:r>
            <w:r w:rsidR="00D51D0A" w:rsidRPr="00A97F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97FE1">
              <w:rPr>
                <w:rFonts w:ascii="Times New Roman" w:eastAsia="Times New Roman" w:hAnsi="Times New Roman" w:cs="Times New Roman"/>
                <w:sz w:val="18"/>
                <w:szCs w:val="18"/>
              </w:rPr>
              <w:t>здатність до саморозвитку та самореалізації</w:t>
            </w:r>
          </w:p>
          <w:p w:rsidR="00995BC4" w:rsidRPr="00652E4E" w:rsidRDefault="00995BC4" w:rsidP="00F27264">
            <w:pPr>
              <w:pStyle w:val="LO-normal"/>
              <w:widowControl w:val="0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2E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Загальнопедагогічні</w:t>
            </w:r>
            <w:proofErr w:type="spellEnd"/>
            <w:r w:rsidRPr="00652E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  <w:p w:rsidR="00995BC4" w:rsidRPr="00D51D0A" w:rsidRDefault="00995BC4" w:rsidP="00F27264">
            <w:pPr>
              <w:pStyle w:val="LO-normal"/>
              <w:widowControl w:val="0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2E4E">
              <w:rPr>
                <w:rFonts w:ascii="Times New Roman" w:eastAsia="Times New Roman" w:hAnsi="Times New Roman" w:cs="Times New Roman"/>
                <w:sz w:val="18"/>
                <w:szCs w:val="18"/>
              </w:rPr>
              <w:t>– здатність розуміти нормативно-правові документи, науково-методичну літературу;</w:t>
            </w:r>
            <w:r w:rsidR="00D51D0A" w:rsidRPr="00D51D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52E4E">
              <w:rPr>
                <w:rFonts w:ascii="Times New Roman" w:eastAsia="Times New Roman" w:hAnsi="Times New Roman" w:cs="Times New Roman"/>
                <w:sz w:val="18"/>
                <w:szCs w:val="18"/>
              </w:rPr>
              <w:t>здатність висловлювати та обґрунтовувати власну думку усно і письмово;  здатність мислити системно й критично;</w:t>
            </w:r>
            <w:r w:rsidR="00D51D0A" w:rsidRPr="00D51D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52E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здатність проявляти ініціативу та логічно обґрунтовувати позицію; </w:t>
            </w:r>
            <w:r w:rsidR="00D51D0A" w:rsidRPr="00D51D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52E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здатність творчо підходити до розв’язання проблем і задач;</w:t>
            </w:r>
            <w:r w:rsidR="00D51D0A" w:rsidRPr="00D51D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52E4E">
              <w:rPr>
                <w:rFonts w:ascii="Times New Roman" w:eastAsia="Times New Roman" w:hAnsi="Times New Roman" w:cs="Times New Roman"/>
                <w:sz w:val="18"/>
                <w:szCs w:val="18"/>
              </w:rPr>
              <w:t>здатність конструктивно керувати емоціями;</w:t>
            </w:r>
            <w:r w:rsidR="00D51D0A" w:rsidRPr="00D51D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52E4E">
              <w:rPr>
                <w:rFonts w:ascii="Times New Roman" w:eastAsia="Times New Roman" w:hAnsi="Times New Roman" w:cs="Times New Roman"/>
                <w:sz w:val="18"/>
                <w:szCs w:val="18"/>
              </w:rPr>
              <w:t>здатність оцінювати ризики та приймати відповідальні рішення;</w:t>
            </w:r>
            <w:r w:rsidR="00D51D0A" w:rsidRPr="00D51D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52E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здатність співпрацювати з іншими суб’єктами освітнього процесу</w:t>
            </w:r>
            <w:r w:rsidR="00D51D0A" w:rsidRPr="00D51D0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995BC4" w:rsidRPr="00652E4E" w:rsidRDefault="00995BC4" w:rsidP="00F27264">
            <w:pPr>
              <w:pStyle w:val="LO-normal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2E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Фахові:</w:t>
            </w:r>
          </w:p>
          <w:p w:rsidR="00995BC4" w:rsidRPr="00652E4E" w:rsidRDefault="00995BC4" w:rsidP="00F27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52E4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– здатність </w:t>
            </w:r>
            <w:r w:rsidRPr="00CB098B">
              <w:rPr>
                <w:rFonts w:ascii="Times New Roman" w:eastAsia="BritishCouncilSans-Regular" w:hAnsi="Times New Roman" w:cs="Times New Roman"/>
                <w:sz w:val="18"/>
                <w:szCs w:val="18"/>
                <w:lang w:eastAsia="en-US"/>
              </w:rPr>
              <w:t>розуміти</w:t>
            </w:r>
            <w:r w:rsidR="00D51D0A" w:rsidRPr="00CB098B">
              <w:rPr>
                <w:rFonts w:ascii="Times New Roman" w:eastAsia="BritishCouncilSans-Regular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CB098B">
              <w:rPr>
                <w:rFonts w:ascii="Times New Roman" w:eastAsia="BritishCouncilSans-Regular" w:hAnsi="Times New Roman" w:cs="Times New Roman"/>
                <w:sz w:val="18"/>
                <w:szCs w:val="18"/>
                <w:lang w:eastAsia="en-US"/>
              </w:rPr>
              <w:t>цілі щодо</w:t>
            </w:r>
            <w:r w:rsidRPr="00652E4E">
              <w:rPr>
                <w:rFonts w:ascii="Times New Roman" w:eastAsia="BritishCouncilSans-Regular" w:hAnsi="Times New Roman" w:cs="Times New Roman"/>
                <w:sz w:val="18"/>
                <w:szCs w:val="18"/>
                <w:lang w:eastAsia="en-US"/>
              </w:rPr>
              <w:t xml:space="preserve"> професійного розвитку та шляхи їх досягнення;</w:t>
            </w:r>
            <w:r w:rsidR="00D51D0A">
              <w:rPr>
                <w:rFonts w:ascii="Times New Roman" w:eastAsia="BritishCouncilSans-Regular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652E4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здатність </w:t>
            </w:r>
            <w:r w:rsidRPr="00652E4E">
              <w:rPr>
                <w:rFonts w:ascii="Times New Roman" w:eastAsia="BritishCouncilSans-Regular" w:hAnsi="Times New Roman" w:cs="Times New Roman"/>
                <w:sz w:val="18"/>
                <w:szCs w:val="18"/>
                <w:lang w:eastAsia="en-US"/>
              </w:rPr>
              <w:t>здійснювати наставництво та консультувати інших учителів;</w:t>
            </w:r>
            <w:r w:rsidR="00D51D0A">
              <w:rPr>
                <w:rFonts w:ascii="Times New Roman" w:eastAsia="BritishCouncilSans-Regular" w:hAnsi="Times New Roman" w:cs="Times New Roman"/>
                <w:sz w:val="18"/>
                <w:szCs w:val="18"/>
                <w:lang w:eastAsia="en-US"/>
              </w:rPr>
              <w:t xml:space="preserve">  </w:t>
            </w:r>
            <w:r w:rsidRPr="00652E4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здатність </w:t>
            </w:r>
            <w:r w:rsidRPr="00652E4E">
              <w:rPr>
                <w:rFonts w:ascii="Times New Roman" w:eastAsia="BritishCouncilSans-Regular" w:hAnsi="Times New Roman" w:cs="Times New Roman"/>
                <w:sz w:val="18"/>
                <w:szCs w:val="18"/>
                <w:lang w:eastAsia="en-US"/>
              </w:rPr>
              <w:t>робити внесок у розвиток професії шляхом написання статей, розроблення навчальних матеріалів,участі у фахових форумах або мережах і через проведення практичних семінарів;</w:t>
            </w:r>
            <w:r w:rsidR="00D51D0A">
              <w:rPr>
                <w:rFonts w:ascii="Times New Roman" w:eastAsia="BritishCouncilSans-Regular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652E4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здатність </w:t>
            </w:r>
            <w:r w:rsidRPr="00652E4E">
              <w:rPr>
                <w:rFonts w:ascii="Times New Roman" w:eastAsia="BritishCouncilSans-Regular" w:hAnsi="Times New Roman" w:cs="Times New Roman"/>
                <w:sz w:val="18"/>
                <w:szCs w:val="18"/>
                <w:lang w:eastAsia="en-US"/>
              </w:rPr>
              <w:t>демонструвати академічні знання аспектів мови, якої навчають, і адекватно їх застосовувати;</w:t>
            </w:r>
            <w:r w:rsidR="00D51D0A">
              <w:rPr>
                <w:rFonts w:ascii="Times New Roman" w:eastAsia="BritishCouncilSans-Regular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652E4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здатність </w:t>
            </w:r>
            <w:r w:rsidRPr="00652E4E">
              <w:rPr>
                <w:rFonts w:ascii="Times New Roman" w:eastAsia="BritishCouncilSans-Regular" w:hAnsi="Times New Roman" w:cs="Times New Roman"/>
                <w:sz w:val="18"/>
                <w:szCs w:val="18"/>
                <w:lang w:eastAsia="en-US"/>
              </w:rPr>
              <w:t>виявляти високий рівень чутливості, творчості, майстерності у наданні точної та відповідної інформації про поняття, вміння, аспекти мови, маючи на увазі конкретні результати учіння;</w:t>
            </w:r>
            <w:r w:rsidR="00D51D0A">
              <w:rPr>
                <w:rFonts w:ascii="Times New Roman" w:eastAsia="BritishCouncilSans-Regular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652E4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здатність </w:t>
            </w:r>
            <w:r w:rsidRPr="00652E4E">
              <w:rPr>
                <w:rFonts w:ascii="Times New Roman" w:eastAsia="BritishCouncilSans-Regular" w:hAnsi="Times New Roman" w:cs="Times New Roman"/>
                <w:sz w:val="18"/>
                <w:szCs w:val="18"/>
                <w:lang w:eastAsia="en-US"/>
              </w:rPr>
              <w:t>аналізувати результативність власної діяльності та діяльності учнів на уроці задля кращого розуміння ефективного оцінювання; ділитися власним досвідом з колегами;</w:t>
            </w:r>
            <w:r w:rsidR="00D51D0A">
              <w:rPr>
                <w:rFonts w:ascii="Times New Roman" w:eastAsia="BritishCouncilSans-Regular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652E4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здатність с</w:t>
            </w:r>
            <w:r w:rsidRPr="00652E4E">
              <w:rPr>
                <w:rFonts w:ascii="Times New Roman" w:eastAsia="BritishCouncilSans-Regular" w:hAnsi="Times New Roman" w:cs="Times New Roman"/>
                <w:sz w:val="18"/>
                <w:szCs w:val="18"/>
                <w:lang w:eastAsia="en-US"/>
              </w:rPr>
              <w:t>творювати середовище в класі, в якому активно підтримуються учні з різними навчальними потребами та рівнем підготовленості;</w:t>
            </w:r>
            <w:r w:rsidR="00D51D0A">
              <w:rPr>
                <w:rFonts w:ascii="Times New Roman" w:eastAsia="BritishCouncilSans-Regular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652E4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здатність </w:t>
            </w:r>
            <w:r w:rsidRPr="00652E4E">
              <w:rPr>
                <w:rFonts w:ascii="Times New Roman" w:eastAsia="BritishCouncilSans-Regular" w:hAnsi="Times New Roman" w:cs="Times New Roman"/>
                <w:sz w:val="18"/>
                <w:szCs w:val="18"/>
                <w:lang w:eastAsia="en-US"/>
              </w:rPr>
              <w:t xml:space="preserve">заохочувати учнів до планування їхнього учіння, моніторингу власних досягнень і </w:t>
            </w:r>
            <w:proofErr w:type="spellStart"/>
            <w:r w:rsidRPr="00652E4E">
              <w:rPr>
                <w:rFonts w:ascii="Times New Roman" w:eastAsia="BritishCouncilSans-Regular" w:hAnsi="Times New Roman" w:cs="Times New Roman"/>
                <w:sz w:val="18"/>
                <w:szCs w:val="18"/>
                <w:lang w:eastAsia="en-US"/>
              </w:rPr>
              <w:t>самооцінювання</w:t>
            </w:r>
            <w:proofErr w:type="spellEnd"/>
            <w:r w:rsidRPr="00652E4E">
              <w:rPr>
                <w:rFonts w:ascii="Times New Roman" w:eastAsia="BritishCouncilSans-Regular" w:hAnsi="Times New Roman" w:cs="Times New Roman"/>
                <w:sz w:val="18"/>
                <w:szCs w:val="18"/>
                <w:lang w:eastAsia="en-US"/>
              </w:rPr>
              <w:t>;</w:t>
            </w:r>
            <w:r w:rsidR="00D51D0A">
              <w:rPr>
                <w:rFonts w:ascii="Times New Roman" w:eastAsia="BritishCouncilSans-Regular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D51D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здатність формувати в здобувачів освіти ключові та предметні компетентності;</w:t>
            </w:r>
            <w:r w:rsidR="00D51D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52E4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здатність </w:t>
            </w:r>
            <w:r w:rsidRPr="00652E4E">
              <w:rPr>
                <w:rFonts w:ascii="Times New Roman" w:eastAsia="BritishCouncilSans-Regular" w:hAnsi="Times New Roman" w:cs="Times New Roman"/>
                <w:sz w:val="18"/>
                <w:szCs w:val="18"/>
                <w:lang w:eastAsia="en-US"/>
              </w:rPr>
              <w:t>планувати уроки, глибоко розуміючи та усвідомлюючи відповідні аспекти навчання мови;</w:t>
            </w:r>
            <w:r w:rsidR="00D51D0A">
              <w:rPr>
                <w:rFonts w:ascii="Times New Roman" w:eastAsia="BritishCouncilSans-Regular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652E4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здатність </w:t>
            </w:r>
            <w:r w:rsidRPr="00652E4E">
              <w:rPr>
                <w:rFonts w:ascii="Times New Roman" w:eastAsia="BritishCouncilSans-Regular" w:hAnsi="Times New Roman" w:cs="Times New Roman"/>
                <w:sz w:val="18"/>
                <w:szCs w:val="18"/>
                <w:lang w:eastAsia="en-US"/>
              </w:rPr>
              <w:t>використовувати різноманітні навчальні технології в ході уроку відповідно до навчальних ситуацій;</w:t>
            </w:r>
            <w:r w:rsidR="00D51D0A">
              <w:rPr>
                <w:rFonts w:ascii="Times New Roman" w:eastAsia="BritishCouncilSans-Regular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D51D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здатність створювати безпечне інклюзивне освітнє середовище;</w:t>
            </w:r>
            <w:r w:rsidR="00D51D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52E4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здатність </w:t>
            </w:r>
            <w:r w:rsidRPr="00652E4E">
              <w:rPr>
                <w:rFonts w:ascii="Times New Roman" w:eastAsia="BritishCouncilSans-Regular" w:hAnsi="Times New Roman" w:cs="Times New Roman"/>
                <w:sz w:val="18"/>
                <w:szCs w:val="18"/>
                <w:lang w:eastAsia="en-US"/>
              </w:rPr>
              <w:t>розвивати уміння в галузі онлайн освіти;</w:t>
            </w:r>
            <w:r w:rsidR="00D51D0A">
              <w:rPr>
                <w:rFonts w:ascii="Times New Roman" w:eastAsia="BritishCouncilSans-Regular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652E4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здатність </w:t>
            </w:r>
            <w:r w:rsidRPr="00652E4E">
              <w:rPr>
                <w:rFonts w:ascii="Times New Roman" w:eastAsia="BritishCouncilSans-Regular" w:hAnsi="Times New Roman" w:cs="Times New Roman"/>
                <w:sz w:val="18"/>
                <w:szCs w:val="18"/>
                <w:lang w:eastAsia="en-US"/>
              </w:rPr>
              <w:t>підтримувати позитивне ставлення до викликів та змін.</w:t>
            </w:r>
          </w:p>
        </w:tc>
      </w:tr>
      <w:tr w:rsidR="00995BC4" w:rsidRPr="00652E4E" w:rsidTr="00F27264">
        <w:trPr>
          <w:gridAfter w:val="1"/>
          <w:wAfter w:w="9" w:type="dxa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F27264" w:rsidRDefault="00995B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F2726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Строки виконання</w:t>
            </w:r>
            <w:r w:rsidR="00D51D0A" w:rsidRPr="00F2726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F2726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програми</w:t>
            </w:r>
          </w:p>
        </w:tc>
        <w:tc>
          <w:tcPr>
            <w:tcW w:w="8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C4" w:rsidRPr="00652E4E" w:rsidRDefault="00995B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52E4E">
              <w:rPr>
                <w:rFonts w:ascii="Times New Roman" w:hAnsi="Times New Roman"/>
                <w:sz w:val="18"/>
                <w:szCs w:val="18"/>
                <w:lang w:eastAsia="en-US"/>
              </w:rPr>
              <w:t>Упродовж двох тижнів відповідно до плану-графіку</w:t>
            </w:r>
          </w:p>
        </w:tc>
      </w:tr>
      <w:tr w:rsidR="00F27264" w:rsidRPr="00652E4E" w:rsidTr="00F27264">
        <w:trPr>
          <w:gridAfter w:val="1"/>
          <w:wAfter w:w="9" w:type="dxa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64" w:rsidRPr="00F27264" w:rsidRDefault="00F27264" w:rsidP="00F272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F2726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Місце виконання програми</w:t>
            </w:r>
          </w:p>
        </w:tc>
        <w:tc>
          <w:tcPr>
            <w:tcW w:w="8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64" w:rsidRPr="00F27264" w:rsidRDefault="00F27264" w:rsidP="00F272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2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Прикарпатський національний університет імені Василя Стефаника</w:t>
            </w:r>
          </w:p>
        </w:tc>
      </w:tr>
      <w:tr w:rsidR="00F27264" w:rsidRPr="00652E4E" w:rsidTr="00F27264">
        <w:trPr>
          <w:gridAfter w:val="1"/>
          <w:wAfter w:w="9" w:type="dxa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64" w:rsidRPr="00F27264" w:rsidRDefault="00F27264" w:rsidP="00F272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F2726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Вартість</w:t>
            </w:r>
          </w:p>
        </w:tc>
        <w:tc>
          <w:tcPr>
            <w:tcW w:w="8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64" w:rsidRPr="00F27264" w:rsidRDefault="00F27264" w:rsidP="00F272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264">
              <w:rPr>
                <w:rFonts w:ascii="Times New Roman" w:hAnsi="Times New Roman" w:cs="Times New Roman"/>
                <w:sz w:val="18"/>
                <w:szCs w:val="18"/>
              </w:rPr>
              <w:t>Освітні послуги надаються за рахунок освітньої субвенції Кабінету Міністрів  України</w:t>
            </w:r>
          </w:p>
        </w:tc>
      </w:tr>
      <w:tr w:rsidR="00F27264" w:rsidRPr="00652E4E" w:rsidTr="00F27264">
        <w:trPr>
          <w:gridAfter w:val="1"/>
          <w:wAfter w:w="9" w:type="dxa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64" w:rsidRPr="00F27264" w:rsidRDefault="00F27264" w:rsidP="00F272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F2726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Графік освітнього процесу</w:t>
            </w:r>
          </w:p>
        </w:tc>
        <w:tc>
          <w:tcPr>
            <w:tcW w:w="8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64" w:rsidRPr="00F27264" w:rsidRDefault="00F27264" w:rsidP="00F27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2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Затверджується проректором з науково-педагогічної діяльності Прикарпатського національного університету імені Василя Стефаника</w:t>
            </w:r>
          </w:p>
        </w:tc>
      </w:tr>
      <w:tr w:rsidR="00F27264" w:rsidRPr="00652E4E" w:rsidTr="00F27264">
        <w:trPr>
          <w:gridAfter w:val="1"/>
          <w:wAfter w:w="9" w:type="dxa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64" w:rsidRPr="00F27264" w:rsidRDefault="00F27264" w:rsidP="00F272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F2726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Документ, що видається за результатами підвищення кваліфікації</w:t>
            </w:r>
          </w:p>
        </w:tc>
        <w:tc>
          <w:tcPr>
            <w:tcW w:w="8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64" w:rsidRPr="00F27264" w:rsidRDefault="00F27264" w:rsidP="00F272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26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Свідоцтво</w:t>
            </w:r>
          </w:p>
          <w:p w:rsidR="00F27264" w:rsidRPr="00F27264" w:rsidRDefault="00F27264" w:rsidP="00F272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995BC4" w:rsidRPr="00652E4E" w:rsidRDefault="00995BC4" w:rsidP="00995BC4">
      <w:pPr>
        <w:rPr>
          <w:sz w:val="18"/>
          <w:szCs w:val="18"/>
        </w:rPr>
      </w:pPr>
    </w:p>
    <w:p w:rsidR="00A346EA" w:rsidRPr="00652E4E" w:rsidRDefault="00A346EA">
      <w:pPr>
        <w:rPr>
          <w:sz w:val="18"/>
          <w:szCs w:val="18"/>
        </w:rPr>
      </w:pPr>
    </w:p>
    <w:sectPr w:rsidR="00A346EA" w:rsidRPr="00652E4E" w:rsidSect="009D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tishCouncilSans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6CF"/>
    <w:multiLevelType w:val="hybridMultilevel"/>
    <w:tmpl w:val="9E20D184"/>
    <w:lvl w:ilvl="0" w:tplc="6A860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063E6"/>
    <w:multiLevelType w:val="hybridMultilevel"/>
    <w:tmpl w:val="36E2D8FC"/>
    <w:lvl w:ilvl="0" w:tplc="E29C0F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C4"/>
    <w:rsid w:val="00165C2C"/>
    <w:rsid w:val="00430405"/>
    <w:rsid w:val="004E5444"/>
    <w:rsid w:val="00517C90"/>
    <w:rsid w:val="00652E4E"/>
    <w:rsid w:val="00682C9F"/>
    <w:rsid w:val="00722680"/>
    <w:rsid w:val="007A4CEA"/>
    <w:rsid w:val="00812760"/>
    <w:rsid w:val="00995BC4"/>
    <w:rsid w:val="009D7666"/>
    <w:rsid w:val="00A346EA"/>
    <w:rsid w:val="00A97FE1"/>
    <w:rsid w:val="00CB098B"/>
    <w:rsid w:val="00D23054"/>
    <w:rsid w:val="00D51D0A"/>
    <w:rsid w:val="00F249C7"/>
    <w:rsid w:val="00F2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7A234-31DB-4028-8E0E-BD384795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BC4"/>
    <w:pPr>
      <w:ind w:left="720"/>
      <w:contextualSpacing/>
    </w:pPr>
  </w:style>
  <w:style w:type="paragraph" w:customStyle="1" w:styleId="LO-normal">
    <w:name w:val="LO-normal"/>
    <w:rsid w:val="00995BC4"/>
    <w:pPr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11">
    <w:name w:val="Заголовок 11"/>
    <w:basedOn w:val="a"/>
    <w:qFormat/>
    <w:rsid w:val="00995BC4"/>
    <w:pPr>
      <w:widowControl w:val="0"/>
      <w:suppressAutoHyphens/>
      <w:autoSpaceDE w:val="0"/>
      <w:spacing w:after="0" w:line="240" w:lineRule="auto"/>
      <w:ind w:left="1302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zh-CN" w:bidi="uk-UA"/>
    </w:rPr>
  </w:style>
  <w:style w:type="paragraph" w:customStyle="1" w:styleId="TableParagraph">
    <w:name w:val="Table Paragraph"/>
    <w:basedOn w:val="a"/>
    <w:uiPriority w:val="1"/>
    <w:qFormat/>
    <w:rsid w:val="00995B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2">
    <w:name w:val="Заголовок 12"/>
    <w:basedOn w:val="a"/>
    <w:rsid w:val="00812760"/>
    <w:pPr>
      <w:widowControl w:val="0"/>
      <w:suppressAutoHyphens/>
      <w:autoSpaceDE w:val="0"/>
      <w:spacing w:after="0" w:line="240" w:lineRule="auto"/>
      <w:ind w:left="1302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zh-CN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9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C77C-963C-451A-BE76-9C5E18BB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4653</Words>
  <Characters>2653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Неттбукк</dc:creator>
  <cp:lastModifiedBy>Admin</cp:lastModifiedBy>
  <cp:revision>3</cp:revision>
  <dcterms:created xsi:type="dcterms:W3CDTF">2021-06-13T11:08:00Z</dcterms:created>
  <dcterms:modified xsi:type="dcterms:W3CDTF">2021-06-13T11:35:00Z</dcterms:modified>
</cp:coreProperties>
</file>